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7CF1" w14:textId="39FE6C87" w:rsidR="00BD2290" w:rsidRDefault="00844D9F" w:rsidP="00653B18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653B18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14B0EE1A" w:rsidR="00B04FC3" w:rsidRPr="00B04FC3" w:rsidRDefault="00B04FC3" w:rsidP="0065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747F18">
        <w:rPr>
          <w:rFonts w:ascii="Times New Roman" w:hAnsi="Times New Roman" w:cs="Times New Roman"/>
          <w:b/>
          <w:bCs/>
          <w:sz w:val="36"/>
          <w:szCs w:val="36"/>
        </w:rPr>
        <w:t>MATEMATICA</w:t>
      </w:r>
    </w:p>
    <w:p w14:paraId="10796D6F" w14:textId="2EAC50C4" w:rsidR="00B04FC3" w:rsidRPr="00B04FC3" w:rsidRDefault="00880F43" w:rsidP="0088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2023 - 2024</w:t>
      </w:r>
    </w:p>
    <w:p w14:paraId="302F58CA" w14:textId="09990CE7" w:rsidR="00B04FC3" w:rsidRPr="00B04FC3" w:rsidRDefault="00B04FC3" w:rsidP="0065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747F18">
        <w:rPr>
          <w:rFonts w:ascii="Times New Roman" w:hAnsi="Times New Roman" w:cs="Times New Roman"/>
          <w:b/>
          <w:bCs/>
          <w:sz w:val="28"/>
          <w:szCs w:val="28"/>
        </w:rPr>
        <w:t>Matematica</w:t>
      </w:r>
    </w:p>
    <w:p w14:paraId="236E0DB5" w14:textId="55533DB6" w:rsidR="00B04FC3" w:rsidRPr="00B04FC3" w:rsidRDefault="00B04FC3" w:rsidP="0065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F18">
        <w:rPr>
          <w:rFonts w:ascii="Times New Roman" w:hAnsi="Times New Roman" w:cs="Times New Roman"/>
          <w:b/>
          <w:bCs/>
          <w:sz w:val="28"/>
          <w:szCs w:val="28"/>
        </w:rPr>
        <w:t>Caterina Mautone</w:t>
      </w:r>
    </w:p>
    <w:p w14:paraId="5010A7CD" w14:textId="7E94D495" w:rsidR="00B04FC3" w:rsidRPr="00B04FC3" w:rsidRDefault="00B04FC3" w:rsidP="0065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747F18">
        <w:rPr>
          <w:rFonts w:ascii="Times New Roman" w:hAnsi="Times New Roman" w:cs="Times New Roman"/>
          <w:b/>
          <w:bCs/>
          <w:sz w:val="28"/>
          <w:szCs w:val="28"/>
        </w:rPr>
        <w:t>B SIA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F4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4F69B834" w14:textId="35A9CE10" w:rsidR="00B04FC3" w:rsidRDefault="00B04FC3" w:rsidP="00653B18">
      <w:pPr>
        <w:pStyle w:val="Corpotesto"/>
        <w:spacing w:after="0" w:line="240" w:lineRule="auto"/>
        <w:ind w:right="131"/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74A" w:rsidRPr="00AC55C2">
        <w:rPr>
          <w:rFonts w:ascii="Times New Roman" w:hAnsi="Times New Roman" w:cs="Times New Roman"/>
          <w:b/>
          <w:bCs/>
          <w:sz w:val="20"/>
          <w:szCs w:val="20"/>
        </w:rPr>
        <w:t>Bergamini, Barozzi, Trifone</w:t>
      </w:r>
      <w:r w:rsidR="00FD374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FD374A">
        <w:t>MATEMATICA ROSSO 2ED - VOLUMI 4- 5” ed. Zanichelli</w:t>
      </w:r>
    </w:p>
    <w:p w14:paraId="4E52FB47" w14:textId="77777777" w:rsidR="00FD374A" w:rsidRDefault="00FD374A" w:rsidP="00653B18">
      <w:pPr>
        <w:pStyle w:val="Corpotesto"/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6EA49FC5" w:rsidR="00B04FC3" w:rsidRPr="00653B18" w:rsidRDefault="00B04FC3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35DAF176" w14:textId="77777777" w:rsidR="00653B18" w:rsidRP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E1ED9" w14:textId="0A3BDEB1" w:rsidR="00747F18" w:rsidRP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UDA N. 1</w:t>
      </w:r>
    </w:p>
    <w:p w14:paraId="7102166D" w14:textId="2B6E13F2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747F18">
        <w:rPr>
          <w:rFonts w:ascii="Times New Roman" w:hAnsi="Times New Roman" w:cs="Times New Roman"/>
          <w:b/>
          <w:bCs/>
          <w:sz w:val="28"/>
          <w:szCs w:val="28"/>
        </w:rPr>
        <w:t>TITOLO: “Goniometria e trigonometria”</w:t>
      </w:r>
    </w:p>
    <w:p w14:paraId="5BE2AECE" w14:textId="77777777" w:rsid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6DB34F87" w14:textId="4E2E28DE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La circonferenza goniometrica: Archi ed angoli orientati. Misure in gradi e radianti</w:t>
      </w:r>
    </w:p>
    <w:p w14:paraId="358FFFDC" w14:textId="5347346E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Funzioni goniometriche: seno, coseno, tangente, cotangente. proprietà e grafici</w:t>
      </w:r>
    </w:p>
    <w:p w14:paraId="70577E0D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Identità goniometriche.</w:t>
      </w:r>
    </w:p>
    <w:p w14:paraId="678B9E79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Angoli associati.</w:t>
      </w:r>
    </w:p>
    <w:p w14:paraId="724B7B92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Formule goniometriche: prima e seconda relazione fondamentale della goniometria</w:t>
      </w:r>
    </w:p>
    <w:p w14:paraId="54D0744B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Equazioni e disequazioni </w:t>
      </w:r>
      <w:proofErr w:type="gramStart"/>
      <w:r w:rsidRPr="00747F18">
        <w:rPr>
          <w:rFonts w:ascii="Times New Roman" w:hAnsi="Times New Roman" w:cs="Times New Roman"/>
          <w:sz w:val="28"/>
          <w:szCs w:val="28"/>
        </w:rPr>
        <w:t>goniometriche  elementari</w:t>
      </w:r>
      <w:proofErr w:type="gramEnd"/>
    </w:p>
    <w:p w14:paraId="5C0A3C95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Trigonometria: teoremi sui triangoli rettangoli </w:t>
      </w:r>
    </w:p>
    <w:p w14:paraId="2F6BFFB8" w14:textId="77777777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1E26F00C" w14:textId="083AB63E" w:rsidR="00747F18" w:rsidRP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UDA N. 2</w:t>
      </w:r>
    </w:p>
    <w:p w14:paraId="56D3C244" w14:textId="532ACB95" w:rsidR="00747F18" w:rsidRP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TITOLO: Le funzioni</w:t>
      </w:r>
    </w:p>
    <w:p w14:paraId="64116102" w14:textId="77777777" w:rsid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14D0969A" w14:textId="078A6A01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Le funzioni; definizione, proprietà, classificazione, simmetrie, dominio.</w:t>
      </w:r>
    </w:p>
    <w:p w14:paraId="212E5B01" w14:textId="455E5200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Ricerca del dominio di una funzione.</w:t>
      </w:r>
    </w:p>
    <w:p w14:paraId="0A65ECAA" w14:textId="1C281D7D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Intersezione con gli assi, segno.</w:t>
      </w:r>
    </w:p>
    <w:p w14:paraId="0334EB30" w14:textId="00A3D9CA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Concetto intuitivo di limite. Limiti e forme indeterminate: 0/0, inf/inf, n/0.</w:t>
      </w:r>
    </w:p>
    <w:p w14:paraId="202F311C" w14:textId="398581D2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Asintoti: verticali e orizzontali.</w:t>
      </w:r>
    </w:p>
    <w:p w14:paraId="29A6EE24" w14:textId="77777777" w:rsid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A4741" w14:textId="4791E798" w:rsidR="00747F18" w:rsidRP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8344200"/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UDA N. </w:t>
      </w:r>
      <w:r w:rsidR="00653B1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DDAB6D" w14:textId="03C58AEB" w:rsidR="00B04FC3" w:rsidRPr="00653B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TITOLO: Elementi di calcolo differenziale e studio del grafico delle funzioni reali    </w:t>
      </w:r>
    </w:p>
    <w:bookmarkEnd w:id="0"/>
    <w:p w14:paraId="006DAABE" w14:textId="77777777" w:rsid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7821A141" w14:textId="436E7AE6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Derivata di una funzione in un punto e interpretazione geometrica</w:t>
      </w:r>
    </w:p>
    <w:p w14:paraId="3D3438DE" w14:textId="10CD7020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Calcolo dell’equazione della retta tangente al grafico di una funzione in un punto.</w:t>
      </w:r>
    </w:p>
    <w:p w14:paraId="1776790A" w14:textId="7896558B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Continuità e derivabilità, funzione derivata e derivate successive.</w:t>
      </w:r>
    </w:p>
    <w:p w14:paraId="370E26B0" w14:textId="74E6F9C3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Massimi e minimi relativi, concavità e punti di flesso</w:t>
      </w:r>
    </w:p>
    <w:p w14:paraId="34EEEE4D" w14:textId="53F58E93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lastRenderedPageBreak/>
        <w:t>Rappresentazione di grafici di funzioni</w:t>
      </w:r>
    </w:p>
    <w:p w14:paraId="4C6EFDDC" w14:textId="4A4C0865" w:rsidR="00747F18" w:rsidRPr="00747F18" w:rsidRDefault="00747F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Lettura del grafico di una funzione</w:t>
      </w:r>
    </w:p>
    <w:p w14:paraId="152D252F" w14:textId="77777777" w:rsidR="00B04FC3" w:rsidRPr="00747F18" w:rsidRDefault="00B04FC3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4982B38B" w14:textId="63581C45" w:rsidR="008F2135" w:rsidRPr="00653B18" w:rsidRDefault="008F2135" w:rsidP="008F2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UDA N.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62EB4BD" w14:textId="63366001" w:rsidR="008F2135" w:rsidRPr="00653B18" w:rsidRDefault="008F2135" w:rsidP="008F2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TITOLO: </w:t>
      </w:r>
      <w:r>
        <w:rPr>
          <w:rFonts w:ascii="Times New Roman" w:hAnsi="Times New Roman" w:cs="Times New Roman"/>
          <w:b/>
          <w:bCs/>
          <w:sz w:val="28"/>
          <w:szCs w:val="28"/>
        </w:rPr>
        <w:t>Funzioni economiche</w:t>
      </w:r>
    </w:p>
    <w:p w14:paraId="1E70533D" w14:textId="4268CCB9" w:rsidR="008F2135" w:rsidRDefault="008F2135" w:rsidP="008F2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6361FFA" w14:textId="77777777" w:rsidR="008F2135" w:rsidRDefault="008F2135" w:rsidP="008F2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Funzioni economiche: Domanda e offerta, Costo, ricavo, guadagno. Il prezzo di equilibrio. Break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even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 Point.</w:t>
      </w:r>
    </w:p>
    <w:p w14:paraId="7575AB55" w14:textId="77777777" w:rsidR="008F2135" w:rsidRDefault="008F2135" w:rsidP="008F2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E66E11E" w14:textId="77777777" w:rsidR="00653B18" w:rsidRP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LABORATORIO DI MATEMATICA</w:t>
      </w:r>
    </w:p>
    <w:p w14:paraId="2BD72FBD" w14:textId="77777777" w:rsidR="00653B18" w:rsidRP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794F3874" w14:textId="4D877175" w:rsidR="00653B18" w:rsidRP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653B18">
        <w:rPr>
          <w:rFonts w:ascii="Times New Roman" w:hAnsi="Times New Roman" w:cs="Times New Roman"/>
          <w:sz w:val="28"/>
          <w:szCs w:val="28"/>
        </w:rPr>
        <w:t xml:space="preserve">Il software </w:t>
      </w:r>
      <w:proofErr w:type="spellStart"/>
      <w:r w:rsidRPr="00653B18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Pr="00653B18">
        <w:rPr>
          <w:rFonts w:ascii="Times New Roman" w:hAnsi="Times New Roman" w:cs="Times New Roman"/>
          <w:sz w:val="28"/>
          <w:szCs w:val="28"/>
        </w:rPr>
        <w:t>: rappresentazione e lettura di grafici di funzioni</w:t>
      </w:r>
    </w:p>
    <w:p w14:paraId="6F35AF53" w14:textId="259C6752" w:rsidR="00653B18" w:rsidRPr="00653B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653B18">
        <w:rPr>
          <w:rFonts w:ascii="Times New Roman" w:hAnsi="Times New Roman" w:cs="Times New Roman"/>
          <w:sz w:val="28"/>
          <w:szCs w:val="28"/>
        </w:rPr>
        <w:t>Concetti intuitivi di integrale indefinito e di aree di superfici sottese da grafici di funzioni</w:t>
      </w:r>
    </w:p>
    <w:p w14:paraId="70E5D324" w14:textId="799406A6" w:rsidR="00B04FC3" w:rsidRPr="00747F18" w:rsidRDefault="00653B18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653B18">
        <w:rPr>
          <w:rFonts w:ascii="Times New Roman" w:hAnsi="Times New Roman" w:cs="Times New Roman"/>
          <w:sz w:val="28"/>
          <w:szCs w:val="28"/>
        </w:rPr>
        <w:t>Risoluzione di quesiti INVALSI su piattaforma INVALSI e su piattaforma Zanichelli</w:t>
      </w:r>
    </w:p>
    <w:p w14:paraId="5E34CFDC" w14:textId="77777777" w:rsidR="00B04FC3" w:rsidRDefault="00B04FC3" w:rsidP="00653B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B80A" w14:textId="77777777" w:rsidR="00B04FC3" w:rsidRDefault="00B04FC3" w:rsidP="00653B18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 w14:textId="77777777" w:rsidR="00B04FC3" w:rsidRDefault="00B04FC3" w:rsidP="00653B18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2C138319" w:rsidR="00B04FC3" w:rsidRPr="00B04FC3" w:rsidRDefault="00B04FC3" w:rsidP="0065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8F2135">
        <w:rPr>
          <w:rFonts w:ascii="Times New Roman" w:hAnsi="Times New Roman" w:cs="Times New Roman"/>
          <w:sz w:val="24"/>
          <w:szCs w:val="24"/>
        </w:rPr>
        <w:t>03</w:t>
      </w:r>
      <w:r w:rsidR="00653B18">
        <w:rPr>
          <w:rFonts w:ascii="Times New Roman" w:hAnsi="Times New Roman" w:cs="Times New Roman"/>
          <w:sz w:val="24"/>
          <w:szCs w:val="24"/>
        </w:rPr>
        <w:t>/0</w:t>
      </w:r>
      <w:r w:rsidR="008F2135">
        <w:rPr>
          <w:rFonts w:ascii="Times New Roman" w:hAnsi="Times New Roman" w:cs="Times New Roman"/>
          <w:sz w:val="24"/>
          <w:szCs w:val="24"/>
        </w:rPr>
        <w:t>6</w:t>
      </w:r>
      <w:r w:rsidR="00653B18">
        <w:rPr>
          <w:rFonts w:ascii="Times New Roman" w:hAnsi="Times New Roman" w:cs="Times New Roman"/>
          <w:sz w:val="24"/>
          <w:szCs w:val="24"/>
        </w:rPr>
        <w:t>/202</w:t>
      </w:r>
      <w:r w:rsidR="00192748">
        <w:rPr>
          <w:rFonts w:ascii="Times New Roman" w:hAnsi="Times New Roman" w:cs="Times New Roman"/>
          <w:sz w:val="24"/>
          <w:szCs w:val="24"/>
        </w:rPr>
        <w:t>4</w:t>
      </w:r>
    </w:p>
    <w:p w14:paraId="4BE4D04A" w14:textId="77777777" w:rsidR="00B04FC3" w:rsidRPr="00B04FC3" w:rsidRDefault="00B04FC3" w:rsidP="0065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653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087492A0" w:rsidR="00B04FC3" w:rsidRDefault="00B04FC3" w:rsidP="00653B18">
      <w:pPr>
        <w:spacing w:after="0" w:line="240" w:lineRule="auto"/>
        <w:jc w:val="right"/>
      </w:pPr>
    </w:p>
    <w:p w14:paraId="7B29A850" w14:textId="03991015" w:rsidR="00653B18" w:rsidRDefault="00653B18" w:rsidP="00653B18">
      <w:pPr>
        <w:spacing w:after="0" w:line="240" w:lineRule="auto"/>
        <w:jc w:val="right"/>
      </w:pPr>
      <w:r>
        <w:t>Caterina Mautone</w:t>
      </w:r>
    </w:p>
    <w:p w14:paraId="7E018F40" w14:textId="1CE174A7" w:rsidR="008F2135" w:rsidRDefault="008F2135" w:rsidP="008F2135">
      <w:pPr>
        <w:spacing w:after="0" w:line="240" w:lineRule="auto"/>
      </w:pPr>
    </w:p>
    <w:p w14:paraId="1044DB73" w14:textId="3CA387C5" w:rsidR="008F2135" w:rsidRDefault="008F2135" w:rsidP="008F2135">
      <w:pPr>
        <w:spacing w:after="0" w:line="240" w:lineRule="auto"/>
      </w:pPr>
    </w:p>
    <w:p w14:paraId="689C64DC" w14:textId="64DD6D58" w:rsidR="008F2135" w:rsidRPr="00B04FC3" w:rsidRDefault="008F2135" w:rsidP="008F2135">
      <w:pPr>
        <w:spacing w:after="0" w:line="240" w:lineRule="auto"/>
      </w:pPr>
      <w:r>
        <w:t>Gli alunni</w:t>
      </w:r>
    </w:p>
    <w:sectPr w:rsidR="008F2135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374" w14:textId="77777777" w:rsidR="00B1200A" w:rsidRDefault="00B1200A" w:rsidP="00945547">
      <w:pPr>
        <w:spacing w:after="0" w:line="240" w:lineRule="auto"/>
      </w:pPr>
      <w:r>
        <w:separator/>
      </w:r>
    </w:p>
  </w:endnote>
  <w:endnote w:type="continuationSeparator" w:id="0">
    <w:p w14:paraId="70897AF5" w14:textId="77777777" w:rsidR="00B1200A" w:rsidRDefault="00B1200A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171D" w14:textId="77777777" w:rsidR="00B1200A" w:rsidRDefault="00B1200A" w:rsidP="00945547">
      <w:pPr>
        <w:spacing w:after="0" w:line="240" w:lineRule="auto"/>
      </w:pPr>
      <w:r>
        <w:separator/>
      </w:r>
    </w:p>
  </w:footnote>
  <w:footnote w:type="continuationSeparator" w:id="0">
    <w:p w14:paraId="4CDC75E1" w14:textId="77777777" w:rsidR="00B1200A" w:rsidRDefault="00B1200A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it-IT"/>
      </w:rPr>
    </w:lvl>
  </w:abstractNum>
  <w:abstractNum w:abstractNumId="1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6"/>
  </w:num>
  <w:num w:numId="2" w16cid:durableId="913009975">
    <w:abstractNumId w:val="5"/>
  </w:num>
  <w:num w:numId="3" w16cid:durableId="237516837">
    <w:abstractNumId w:val="11"/>
  </w:num>
  <w:num w:numId="4" w16cid:durableId="9638488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4"/>
  </w:num>
  <w:num w:numId="7" w16cid:durableId="1315766588">
    <w:abstractNumId w:val="18"/>
  </w:num>
  <w:num w:numId="8" w16cid:durableId="1048802598">
    <w:abstractNumId w:val="1"/>
  </w:num>
  <w:num w:numId="9" w16cid:durableId="262688662">
    <w:abstractNumId w:val="16"/>
  </w:num>
  <w:num w:numId="10" w16cid:durableId="343870106">
    <w:abstractNumId w:val="4"/>
  </w:num>
  <w:num w:numId="11" w16cid:durableId="1185559323">
    <w:abstractNumId w:val="15"/>
  </w:num>
  <w:num w:numId="12" w16cid:durableId="1800488203">
    <w:abstractNumId w:val="17"/>
  </w:num>
  <w:num w:numId="13" w16cid:durableId="32119947">
    <w:abstractNumId w:val="10"/>
  </w:num>
  <w:num w:numId="14" w16cid:durableId="1583687263">
    <w:abstractNumId w:val="8"/>
  </w:num>
  <w:num w:numId="15" w16cid:durableId="621233556">
    <w:abstractNumId w:val="2"/>
  </w:num>
  <w:num w:numId="16" w16cid:durableId="1457262312">
    <w:abstractNumId w:val="9"/>
  </w:num>
  <w:num w:numId="17" w16cid:durableId="1653871248">
    <w:abstractNumId w:val="12"/>
  </w:num>
  <w:num w:numId="18" w16cid:durableId="258224078">
    <w:abstractNumId w:val="7"/>
  </w:num>
  <w:num w:numId="19" w16cid:durableId="290475083">
    <w:abstractNumId w:val="3"/>
  </w:num>
  <w:num w:numId="20" w16cid:durableId="2771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748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3B18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47F18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0F43"/>
    <w:rsid w:val="008863C3"/>
    <w:rsid w:val="00897521"/>
    <w:rsid w:val="008A1784"/>
    <w:rsid w:val="008A5F33"/>
    <w:rsid w:val="008D26F9"/>
    <w:rsid w:val="008E1FB7"/>
    <w:rsid w:val="008E620B"/>
    <w:rsid w:val="008F2135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68ED"/>
    <w:rsid w:val="00997705"/>
    <w:rsid w:val="009A2350"/>
    <w:rsid w:val="009A264F"/>
    <w:rsid w:val="009C48E6"/>
    <w:rsid w:val="009C4ED9"/>
    <w:rsid w:val="009E4C63"/>
    <w:rsid w:val="009F395A"/>
    <w:rsid w:val="009F553A"/>
    <w:rsid w:val="00A0124D"/>
    <w:rsid w:val="00A10574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1200A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3FB8"/>
    <w:rsid w:val="00F96D5B"/>
    <w:rsid w:val="00FB51E2"/>
    <w:rsid w:val="00FB6436"/>
    <w:rsid w:val="00FD3381"/>
    <w:rsid w:val="00FD374A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</cp:lastModifiedBy>
  <cp:revision>3</cp:revision>
  <cp:lastPrinted>2024-03-07T11:38:00Z</cp:lastPrinted>
  <dcterms:created xsi:type="dcterms:W3CDTF">2024-06-03T19:58:00Z</dcterms:created>
  <dcterms:modified xsi:type="dcterms:W3CDTF">2024-06-03T19:59:00Z</dcterms:modified>
</cp:coreProperties>
</file>